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B0696" w14:textId="77777777" w:rsidR="00643F2D" w:rsidRPr="00643F2D" w:rsidRDefault="00643F2D" w:rsidP="00643F2D">
      <w:pPr>
        <w:rPr>
          <w:rFonts w:asciiTheme="majorHAnsi" w:hAnsiTheme="majorHAnsi"/>
        </w:rPr>
      </w:pPr>
      <w:r w:rsidRPr="00643F2D">
        <w:rPr>
          <w:rFonts w:asciiTheme="majorHAnsi" w:hAnsiTheme="majorHAnsi"/>
          <w:b/>
          <w:bCs/>
        </w:rPr>
        <w:t>Demande à l'administration de faire connaître la motivation d'une décision implicite de rejet</w:t>
      </w:r>
    </w:p>
    <w:tbl>
      <w:tblPr>
        <w:tblW w:w="5000" w:type="pct"/>
        <w:tblCellSpacing w:w="0" w:type="dxa"/>
        <w:tblLayout w:type="fixed"/>
        <w:tblCellMar>
          <w:left w:w="0" w:type="dxa"/>
          <w:right w:w="0" w:type="dxa"/>
        </w:tblCellMar>
        <w:tblLook w:val="04A0" w:firstRow="1" w:lastRow="0" w:firstColumn="1" w:lastColumn="0" w:noHBand="0" w:noVBand="1"/>
      </w:tblPr>
      <w:tblGrid>
        <w:gridCol w:w="301"/>
        <w:gridCol w:w="20"/>
        <w:gridCol w:w="8745"/>
      </w:tblGrid>
      <w:tr w:rsidR="00643F2D" w:rsidRPr="00643F2D" w14:paraId="467BE8CA" w14:textId="77777777" w:rsidTr="002F3CB1">
        <w:trPr>
          <w:tblCellSpacing w:w="0" w:type="dxa"/>
        </w:trPr>
        <w:tc>
          <w:tcPr>
            <w:tcW w:w="301" w:type="dxa"/>
            <w:vAlign w:val="center"/>
            <w:hideMark/>
          </w:tcPr>
          <w:p w14:paraId="0E4885DB" w14:textId="77777777" w:rsidR="00643F2D" w:rsidRPr="00643F2D" w:rsidRDefault="00643F2D" w:rsidP="00643F2D">
            <w:pPr>
              <w:rPr>
                <w:rFonts w:asciiTheme="majorHAnsi" w:hAnsiTheme="majorHAnsi"/>
              </w:rPr>
            </w:pPr>
            <w:r w:rsidRPr="00643F2D">
              <w:rPr>
                <w:rFonts w:asciiTheme="majorHAnsi" w:hAnsiTheme="majorHAnsi"/>
                <w:noProof/>
              </w:rPr>
              <w:drawing>
                <wp:inline distT="0" distB="0" distL="0" distR="0" wp14:anchorId="5E5DDDFE" wp14:editId="521A4FBC">
                  <wp:extent cx="190500" cy="12700"/>
                  <wp:effectExtent l="0" t="0" r="0" b="0"/>
                  <wp:docPr id="1" name="Image 1" descr="/http://abonnes.efl.fr/EFLPORTAL/data/img/pixelbla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onnes.efl.fr/EFLPORTAL/data/img/pixelblanc.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tc>
        <w:tc>
          <w:tcPr>
            <w:tcW w:w="20" w:type="dxa"/>
            <w:vAlign w:val="center"/>
            <w:hideMark/>
          </w:tcPr>
          <w:p w14:paraId="0F43E27A" w14:textId="77777777" w:rsidR="00643F2D" w:rsidRPr="00643F2D" w:rsidRDefault="00643F2D" w:rsidP="00643F2D">
            <w:pPr>
              <w:rPr>
                <w:rFonts w:asciiTheme="majorHAnsi" w:hAnsiTheme="majorHAnsi"/>
              </w:rPr>
            </w:pPr>
            <w:r w:rsidRPr="00643F2D">
              <w:rPr>
                <w:rFonts w:asciiTheme="majorHAnsi" w:hAnsiTheme="majorHAnsi"/>
                <w:noProof/>
              </w:rPr>
              <w:drawing>
                <wp:inline distT="0" distB="0" distL="0" distR="0" wp14:anchorId="5671BFCE" wp14:editId="64D819E0">
                  <wp:extent cx="1016000" cy="12700"/>
                  <wp:effectExtent l="0" t="0" r="0" b="0"/>
                  <wp:docPr id="2" name="Image 2" descr="/http://abonnes.efl.fr/EFLPORTAL/data/img/pixelbla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bonnes.efl.fr/EFLPORTAL/data/img/pixelblanc.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16000" cy="12700"/>
                          </a:xfrm>
                          <a:prstGeom prst="rect">
                            <a:avLst/>
                          </a:prstGeom>
                          <a:noFill/>
                          <a:ln>
                            <a:noFill/>
                          </a:ln>
                        </pic:spPr>
                      </pic:pic>
                    </a:graphicData>
                  </a:graphic>
                </wp:inline>
              </w:drawing>
            </w:r>
          </w:p>
        </w:tc>
        <w:tc>
          <w:tcPr>
            <w:tcW w:w="8745" w:type="dxa"/>
            <w:vAlign w:val="center"/>
            <w:hideMark/>
          </w:tcPr>
          <w:p w14:paraId="3A541379" w14:textId="77777777" w:rsidR="00643F2D" w:rsidRPr="00643F2D" w:rsidRDefault="00643F2D" w:rsidP="00643F2D">
            <w:pPr>
              <w:rPr>
                <w:rFonts w:asciiTheme="majorHAnsi" w:hAnsiTheme="majorHAnsi"/>
              </w:rPr>
            </w:pPr>
            <w:r w:rsidRPr="00643F2D">
              <w:rPr>
                <w:rFonts w:asciiTheme="majorHAnsi" w:hAnsiTheme="majorHAnsi"/>
              </w:rPr>
              <w:t> </w:t>
            </w:r>
          </w:p>
        </w:tc>
      </w:tr>
      <w:tr w:rsidR="00643F2D" w:rsidRPr="00643F2D" w14:paraId="61652E34" w14:textId="77777777" w:rsidTr="002F3CB1">
        <w:trPr>
          <w:tblCellSpacing w:w="0" w:type="dxa"/>
        </w:trPr>
        <w:tc>
          <w:tcPr>
            <w:tcW w:w="301" w:type="dxa"/>
            <w:vAlign w:val="center"/>
            <w:hideMark/>
          </w:tcPr>
          <w:p w14:paraId="1A9E7370" w14:textId="77777777" w:rsidR="00643F2D" w:rsidRPr="00643F2D" w:rsidRDefault="00643F2D" w:rsidP="00643F2D">
            <w:pPr>
              <w:rPr>
                <w:rFonts w:asciiTheme="majorHAnsi" w:hAnsiTheme="majorHAnsi"/>
              </w:rPr>
            </w:pPr>
            <w:r w:rsidRPr="00643F2D">
              <w:rPr>
                <w:rFonts w:asciiTheme="majorHAnsi" w:hAnsiTheme="majorHAnsi"/>
                <w:noProof/>
              </w:rPr>
              <w:drawing>
                <wp:inline distT="0" distB="0" distL="0" distR="0" wp14:anchorId="5165909F" wp14:editId="406A1355">
                  <wp:extent cx="190500" cy="12700"/>
                  <wp:effectExtent l="0" t="0" r="0" b="0"/>
                  <wp:docPr id="3" name="Image 3" descr="/http://abonnes.efl.fr/EFLPORTAL/data/img/pixelblan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bonnes.efl.fr/EFLPORTAL/data/img/pixelblanc.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90500" cy="12700"/>
                          </a:xfrm>
                          <a:prstGeom prst="rect">
                            <a:avLst/>
                          </a:prstGeom>
                          <a:noFill/>
                          <a:ln>
                            <a:noFill/>
                          </a:ln>
                        </pic:spPr>
                      </pic:pic>
                    </a:graphicData>
                  </a:graphic>
                </wp:inline>
              </w:drawing>
            </w:r>
          </w:p>
        </w:tc>
        <w:tc>
          <w:tcPr>
            <w:tcW w:w="20" w:type="dxa"/>
            <w:hideMark/>
          </w:tcPr>
          <w:p w14:paraId="4BBF524C" w14:textId="77777777" w:rsidR="00643F2D" w:rsidRPr="00643F2D" w:rsidRDefault="00643F2D" w:rsidP="00643F2D">
            <w:pPr>
              <w:rPr>
                <w:rFonts w:asciiTheme="majorHAnsi" w:hAnsiTheme="majorHAnsi"/>
                <w:b/>
                <w:bCs/>
              </w:rPr>
            </w:pPr>
          </w:p>
        </w:tc>
        <w:tc>
          <w:tcPr>
            <w:tcW w:w="8745" w:type="dxa"/>
            <w:vAlign w:val="center"/>
            <w:hideMark/>
          </w:tcPr>
          <w:p w14:paraId="05C519CF" w14:textId="77777777" w:rsidR="00643F2D" w:rsidRPr="00643F2D" w:rsidRDefault="00643F2D" w:rsidP="00643F2D">
            <w:pPr>
              <w:rPr>
                <w:rFonts w:asciiTheme="majorHAnsi" w:hAnsiTheme="majorHAnsi"/>
              </w:rPr>
            </w:pPr>
            <w:r w:rsidRPr="00643F2D">
              <w:rPr>
                <w:rFonts w:asciiTheme="majorHAnsi" w:hAnsiTheme="majorHAnsi"/>
              </w:rPr>
              <w:t>L'article 1 de la loi 79-587 du 11 juillet 1979 modifié par la loi 86-76 du 17 janvier 1986, relative à la motivation des actes administratifs et à l'amélioration des relations entre l'administration et le public dispose que les personnes physiques ou morales ont le droit d'être informées sans délai des décisions administratives défavorables qui les concernent. A cet effet doivent être motivées les décisions qui :</w:t>
            </w:r>
          </w:p>
          <w:p w14:paraId="757BD8C3" w14:textId="77777777" w:rsidR="00643F2D" w:rsidRPr="00643F2D" w:rsidRDefault="00643F2D" w:rsidP="00643F2D">
            <w:pPr>
              <w:rPr>
                <w:rFonts w:asciiTheme="majorHAnsi" w:hAnsiTheme="majorHAnsi"/>
              </w:rPr>
            </w:pPr>
            <w:r w:rsidRPr="00643F2D">
              <w:rPr>
                <w:rFonts w:asciiTheme="majorHAnsi" w:hAnsiTheme="majorHAnsi"/>
              </w:rPr>
              <w:t>-  restreignent l'exercice des libertés publiques ou, de manière générale, constituent une mesure de police ;</w:t>
            </w:r>
          </w:p>
          <w:p w14:paraId="2B37A462" w14:textId="77777777" w:rsidR="00643F2D" w:rsidRPr="00643F2D" w:rsidRDefault="00643F2D" w:rsidP="00643F2D">
            <w:pPr>
              <w:rPr>
                <w:rFonts w:asciiTheme="majorHAnsi" w:hAnsiTheme="majorHAnsi"/>
              </w:rPr>
            </w:pPr>
            <w:r w:rsidRPr="00643F2D">
              <w:rPr>
                <w:rFonts w:asciiTheme="majorHAnsi" w:hAnsiTheme="majorHAnsi"/>
              </w:rPr>
              <w:t>-  infligent une sanction ;</w:t>
            </w:r>
          </w:p>
          <w:p w14:paraId="10A9FAAD" w14:textId="77777777" w:rsidR="00643F2D" w:rsidRPr="00643F2D" w:rsidRDefault="00643F2D" w:rsidP="00643F2D">
            <w:pPr>
              <w:rPr>
                <w:rFonts w:asciiTheme="majorHAnsi" w:hAnsiTheme="majorHAnsi"/>
              </w:rPr>
            </w:pPr>
            <w:r w:rsidRPr="00643F2D">
              <w:rPr>
                <w:rFonts w:asciiTheme="majorHAnsi" w:hAnsiTheme="majorHAnsi"/>
              </w:rPr>
              <w:t>-  subordonnent l'octroi d'une autorisation à des conditions restrictives ou imposent des sujétions ;</w:t>
            </w:r>
          </w:p>
          <w:p w14:paraId="640285BA" w14:textId="77777777" w:rsidR="00643F2D" w:rsidRPr="00643F2D" w:rsidRDefault="00643F2D" w:rsidP="00643F2D">
            <w:pPr>
              <w:rPr>
                <w:rFonts w:asciiTheme="majorHAnsi" w:hAnsiTheme="majorHAnsi"/>
              </w:rPr>
            </w:pPr>
            <w:r w:rsidRPr="00643F2D">
              <w:rPr>
                <w:rFonts w:asciiTheme="majorHAnsi" w:hAnsiTheme="majorHAnsi"/>
              </w:rPr>
              <w:t>-  retirent ou abrogent une décision créatrice de droit ;</w:t>
            </w:r>
          </w:p>
          <w:p w14:paraId="4FD12A54" w14:textId="77777777" w:rsidR="00643F2D" w:rsidRPr="00643F2D" w:rsidRDefault="00643F2D" w:rsidP="00643F2D">
            <w:pPr>
              <w:rPr>
                <w:rFonts w:asciiTheme="majorHAnsi" w:hAnsiTheme="majorHAnsi"/>
              </w:rPr>
            </w:pPr>
            <w:r w:rsidRPr="00643F2D">
              <w:rPr>
                <w:rFonts w:asciiTheme="majorHAnsi" w:hAnsiTheme="majorHAnsi"/>
              </w:rPr>
              <w:t>-  opposent une prescription, une forclusion ou une déchéance ;</w:t>
            </w:r>
          </w:p>
          <w:p w14:paraId="2651B8BA" w14:textId="77777777" w:rsidR="00643F2D" w:rsidRPr="00643F2D" w:rsidRDefault="00643F2D" w:rsidP="00643F2D">
            <w:pPr>
              <w:rPr>
                <w:rFonts w:asciiTheme="majorHAnsi" w:hAnsiTheme="majorHAnsi"/>
              </w:rPr>
            </w:pPr>
            <w:r w:rsidRPr="00643F2D">
              <w:rPr>
                <w:rFonts w:asciiTheme="majorHAnsi" w:hAnsiTheme="majorHAnsi"/>
              </w:rPr>
              <w:t>-  refusent un avantage dont l'attribution constitue un droit pour les personnes qui remplissent les conditions légales pour l'obtenir ;</w:t>
            </w:r>
          </w:p>
          <w:p w14:paraId="282873BD" w14:textId="77777777" w:rsidR="00643F2D" w:rsidRPr="00643F2D" w:rsidRDefault="00643F2D" w:rsidP="00643F2D">
            <w:pPr>
              <w:rPr>
                <w:rFonts w:asciiTheme="majorHAnsi" w:hAnsiTheme="majorHAnsi"/>
              </w:rPr>
            </w:pPr>
            <w:r w:rsidRPr="00643F2D">
              <w:rPr>
                <w:rFonts w:asciiTheme="majorHAnsi" w:hAnsiTheme="majorHAnsi"/>
              </w:rPr>
              <w:t>-  refusent une autorisation sauf lorsque la communication des motifs pourrait être de nature à porter atteinte à l'un des secrets ou intérêts protégés par les dispositions de la loi 78-583 du 17 juillet 1978, article 6, alinéas 2 à 5.</w:t>
            </w:r>
          </w:p>
          <w:p w14:paraId="32ECEE08" w14:textId="77777777" w:rsidR="00643F2D" w:rsidRPr="00643F2D" w:rsidRDefault="00643F2D" w:rsidP="00643F2D">
            <w:pPr>
              <w:rPr>
                <w:rFonts w:asciiTheme="majorHAnsi" w:hAnsiTheme="majorHAnsi"/>
              </w:rPr>
            </w:pPr>
          </w:p>
          <w:p w14:paraId="4674709D" w14:textId="77777777" w:rsidR="00643F2D" w:rsidRPr="00643F2D" w:rsidRDefault="00643F2D" w:rsidP="00643F2D">
            <w:pPr>
              <w:jc w:val="both"/>
              <w:rPr>
                <w:rFonts w:asciiTheme="majorHAnsi" w:hAnsiTheme="majorHAnsi"/>
              </w:rPr>
            </w:pPr>
            <w:r w:rsidRPr="00643F2D">
              <w:rPr>
                <w:rFonts w:asciiTheme="majorHAnsi" w:hAnsiTheme="majorHAnsi"/>
              </w:rPr>
              <w:t>L'article 2 de la même loi dispose que doivent également être motivées les décisions individuelles qui dérogent aux règles générales fixées par la loi ou le règlement.</w:t>
            </w:r>
            <w:r w:rsidRPr="00643F2D">
              <w:rPr>
                <w:rFonts w:asciiTheme="majorHAnsi" w:hAnsiTheme="majorHAnsi"/>
              </w:rPr>
              <w:br/>
            </w:r>
          </w:p>
          <w:p w14:paraId="7C110A5A" w14:textId="77777777" w:rsidR="00643F2D" w:rsidRPr="00643F2D" w:rsidRDefault="00643F2D" w:rsidP="00643F2D">
            <w:pPr>
              <w:jc w:val="both"/>
              <w:rPr>
                <w:rFonts w:asciiTheme="majorHAnsi" w:hAnsiTheme="majorHAnsi"/>
              </w:rPr>
            </w:pPr>
            <w:r w:rsidRPr="00643F2D">
              <w:rPr>
                <w:rFonts w:asciiTheme="majorHAnsi" w:hAnsiTheme="majorHAnsi"/>
              </w:rPr>
              <w:t>Aux termes de l'article 3, la motivation exigée par ladite loi doit être écrite et comporter l'énoncé des considérations de droit et de fait qui constituent le fondement de la décision.</w:t>
            </w:r>
            <w:r w:rsidRPr="00643F2D">
              <w:rPr>
                <w:rFonts w:asciiTheme="majorHAnsi" w:hAnsiTheme="majorHAnsi"/>
              </w:rPr>
              <w:br/>
            </w:r>
          </w:p>
          <w:p w14:paraId="34C71E4D" w14:textId="77777777" w:rsidR="00643F2D" w:rsidRPr="00643F2D" w:rsidRDefault="00643F2D" w:rsidP="00643F2D">
            <w:pPr>
              <w:rPr>
                <w:rFonts w:asciiTheme="majorHAnsi" w:hAnsiTheme="majorHAnsi"/>
              </w:rPr>
            </w:pPr>
            <w:r w:rsidRPr="00643F2D">
              <w:rPr>
                <w:rFonts w:asciiTheme="majorHAnsi" w:hAnsiTheme="majorHAnsi"/>
              </w:rPr>
              <w:t xml:space="preserve">L'article 5 prévoit qu'à la demande de l'intéressé, formulée dans les délais du recours contentieux, les motifs de toute décision implicite de rejet devront lui être communiqués dans le mois suivant cette demande. </w:t>
            </w:r>
          </w:p>
          <w:p w14:paraId="55E23056" w14:textId="77777777" w:rsidR="00643F2D" w:rsidRPr="00643F2D" w:rsidRDefault="00643F2D" w:rsidP="00643F2D">
            <w:pPr>
              <w:rPr>
                <w:rFonts w:asciiTheme="majorHAnsi" w:hAnsiTheme="majorHAnsi"/>
              </w:rPr>
            </w:pPr>
            <w:r w:rsidRPr="00643F2D">
              <w:rPr>
                <w:rFonts w:asciiTheme="majorHAnsi" w:hAnsiTheme="majorHAnsi"/>
              </w:rPr>
              <w:t>Dans ce cas, le délai du recours contentieux contre ladite décision est prorogé jusqu'à l'expiration des deux mois suivant le jour où le motif lui auront été communiqués.</w:t>
            </w:r>
            <w:r w:rsidRPr="00643F2D">
              <w:rPr>
                <w:rFonts w:asciiTheme="majorHAnsi" w:hAnsiTheme="majorHAnsi"/>
              </w:rPr>
              <w:br/>
            </w:r>
          </w:p>
        </w:tc>
      </w:tr>
    </w:tbl>
    <w:p w14:paraId="01AA6E5D" w14:textId="77777777" w:rsidR="004B2A99" w:rsidRPr="00643F2D" w:rsidRDefault="004B2A99">
      <w:pPr>
        <w:rPr>
          <w:rFonts w:asciiTheme="majorHAnsi" w:hAnsiTheme="majorHAnsi"/>
        </w:rPr>
      </w:pPr>
    </w:p>
    <w:p w14:paraId="0258A7BA" w14:textId="77777777" w:rsidR="004B2A99" w:rsidRPr="00643F2D" w:rsidRDefault="004B2A99">
      <w:pPr>
        <w:rPr>
          <w:rFonts w:asciiTheme="majorHAnsi" w:hAnsiTheme="majorHAnsi"/>
        </w:rPr>
      </w:pPr>
    </w:p>
    <w:p w14:paraId="1E27380E" w14:textId="77777777" w:rsidR="004B2A99" w:rsidRPr="00643F2D" w:rsidRDefault="004B2A99">
      <w:pPr>
        <w:rPr>
          <w:rFonts w:asciiTheme="majorHAnsi" w:hAnsiTheme="majorHAnsi"/>
        </w:rPr>
      </w:pPr>
    </w:p>
    <w:p w14:paraId="619E4560" w14:textId="77777777" w:rsidR="004B2A99" w:rsidRPr="00643F2D" w:rsidRDefault="004B2A99">
      <w:pPr>
        <w:rPr>
          <w:rFonts w:asciiTheme="majorHAnsi" w:hAnsiTheme="majorHAnsi"/>
        </w:rPr>
      </w:pPr>
    </w:p>
    <w:p w14:paraId="0FD85356" w14:textId="77777777" w:rsidR="004B2A99" w:rsidRPr="00643F2D" w:rsidRDefault="004B2A99">
      <w:pPr>
        <w:rPr>
          <w:rFonts w:asciiTheme="majorHAnsi" w:hAnsiTheme="majorHAnsi"/>
        </w:rPr>
      </w:pPr>
    </w:p>
    <w:p w14:paraId="7901CD73" w14:textId="77777777" w:rsidR="004B2A99" w:rsidRPr="00643F2D" w:rsidRDefault="004B2A99">
      <w:pPr>
        <w:rPr>
          <w:rFonts w:asciiTheme="majorHAnsi" w:hAnsiTheme="majorHAnsi"/>
        </w:rPr>
      </w:pPr>
    </w:p>
    <w:p w14:paraId="5533B25B" w14:textId="77777777" w:rsidR="004B2A99" w:rsidRPr="00643F2D" w:rsidRDefault="004B2A99">
      <w:pPr>
        <w:rPr>
          <w:rFonts w:asciiTheme="majorHAnsi" w:hAnsiTheme="majorHAnsi"/>
        </w:rPr>
      </w:pPr>
    </w:p>
    <w:p w14:paraId="3B4E3762" w14:textId="77777777" w:rsidR="00643F2D" w:rsidRPr="00643F2D" w:rsidRDefault="00643F2D">
      <w:pPr>
        <w:rPr>
          <w:rFonts w:asciiTheme="majorHAnsi" w:hAnsiTheme="majorHAnsi"/>
        </w:rPr>
      </w:pPr>
    </w:p>
    <w:p w14:paraId="42AF7AC6" w14:textId="77777777" w:rsidR="00643F2D" w:rsidRPr="00643F2D" w:rsidRDefault="00643F2D">
      <w:pPr>
        <w:rPr>
          <w:rFonts w:asciiTheme="majorHAnsi" w:hAnsiTheme="majorHAnsi"/>
        </w:rPr>
      </w:pPr>
    </w:p>
    <w:p w14:paraId="6105E567" w14:textId="77777777" w:rsidR="00643F2D" w:rsidRPr="00643F2D" w:rsidRDefault="00643F2D">
      <w:pPr>
        <w:rPr>
          <w:rFonts w:asciiTheme="majorHAnsi" w:hAnsiTheme="majorHAnsi"/>
        </w:rPr>
      </w:pPr>
    </w:p>
    <w:p w14:paraId="3A3E9AB4" w14:textId="77777777" w:rsidR="00643F2D" w:rsidRPr="00643F2D" w:rsidRDefault="00643F2D">
      <w:pPr>
        <w:rPr>
          <w:rFonts w:asciiTheme="majorHAnsi" w:hAnsiTheme="majorHAnsi"/>
        </w:rPr>
      </w:pPr>
    </w:p>
    <w:p w14:paraId="0EC1AFA7" w14:textId="77777777" w:rsidR="00643F2D" w:rsidRPr="00643F2D" w:rsidRDefault="00643F2D">
      <w:pPr>
        <w:rPr>
          <w:rFonts w:asciiTheme="majorHAnsi" w:hAnsiTheme="majorHAnsi"/>
        </w:rPr>
      </w:pPr>
    </w:p>
    <w:p w14:paraId="377C5F5A" w14:textId="77777777" w:rsidR="00643F2D" w:rsidRPr="00643F2D" w:rsidRDefault="00643F2D">
      <w:pPr>
        <w:rPr>
          <w:rFonts w:asciiTheme="majorHAnsi" w:hAnsiTheme="majorHAnsi"/>
        </w:rPr>
      </w:pPr>
    </w:p>
    <w:tbl>
      <w:tblPr>
        <w:tblW w:w="5000" w:type="pct"/>
        <w:tblCellSpacing w:w="50" w:type="dxa"/>
        <w:tblCellMar>
          <w:left w:w="0" w:type="dxa"/>
          <w:right w:w="0" w:type="dxa"/>
        </w:tblCellMar>
        <w:tblLook w:val="04A0" w:firstRow="1" w:lastRow="0" w:firstColumn="1" w:lastColumn="0" w:noHBand="0" w:noVBand="1"/>
      </w:tblPr>
      <w:tblGrid>
        <w:gridCol w:w="9266"/>
      </w:tblGrid>
      <w:tr w:rsidR="002F3CB1" w:rsidRPr="002F3CB1" w14:paraId="34BC868A" w14:textId="77777777" w:rsidTr="002F3CB1">
        <w:trPr>
          <w:tblCellSpacing w:w="50" w:type="dxa"/>
        </w:trPr>
        <w:tc>
          <w:tcPr>
            <w:tcW w:w="0" w:type="auto"/>
            <w:hideMark/>
          </w:tcPr>
          <w:p w14:paraId="47C391C8" w14:textId="4107132B" w:rsidR="002F3CB1" w:rsidRPr="002F3CB1" w:rsidRDefault="002F3CB1" w:rsidP="002F3CB1">
            <w:pPr>
              <w:rPr>
                <w:rFonts w:asciiTheme="majorHAnsi" w:hAnsiTheme="majorHAnsi"/>
              </w:rPr>
            </w:pPr>
            <w:r>
              <w:rPr>
                <w:rFonts w:asciiTheme="majorHAnsi" w:hAnsiTheme="majorHAnsi"/>
                <w:b/>
                <w:bCs/>
              </w:rPr>
              <w:lastRenderedPageBreak/>
              <w:t xml:space="preserve"> Pour </w:t>
            </w:r>
            <w:r w:rsidRPr="002F3CB1">
              <w:rPr>
                <w:rFonts w:asciiTheme="majorHAnsi" w:hAnsiTheme="majorHAnsi"/>
                <w:b/>
                <w:bCs/>
              </w:rPr>
              <w:t>une personne physique</w:t>
            </w:r>
          </w:p>
        </w:tc>
      </w:tr>
      <w:tr w:rsidR="002F3CB1" w:rsidRPr="002F3CB1" w14:paraId="0BF39312" w14:textId="77777777" w:rsidTr="002F3CB1">
        <w:trPr>
          <w:tblCellSpacing w:w="50" w:type="dxa"/>
        </w:trPr>
        <w:tc>
          <w:tcPr>
            <w:tcW w:w="0" w:type="auto"/>
            <w:vAlign w:val="center"/>
            <w:hideMark/>
          </w:tcPr>
          <w:p w14:paraId="3F8230A7" w14:textId="77777777" w:rsidR="002F3CB1" w:rsidRPr="002F3CB1" w:rsidRDefault="002F3CB1" w:rsidP="002F3CB1">
            <w:pPr>
              <w:rPr>
                <w:rFonts w:asciiTheme="majorHAnsi" w:hAnsiTheme="majorHAnsi"/>
                <w:b/>
              </w:rPr>
            </w:pPr>
            <w:r w:rsidRPr="002F3CB1">
              <w:rPr>
                <w:rFonts w:asciiTheme="majorHAnsi" w:hAnsiTheme="majorHAnsi"/>
                <w:i/>
                <w:iCs/>
              </w:rPr>
              <w:t>(</w:t>
            </w:r>
            <w:r w:rsidRPr="002F3CB1">
              <w:rPr>
                <w:rFonts w:asciiTheme="majorHAnsi" w:hAnsiTheme="majorHAnsi"/>
                <w:b/>
                <w:i/>
                <w:iCs/>
              </w:rPr>
              <w:t>Nom de la personne physique)</w:t>
            </w:r>
          </w:p>
          <w:p w14:paraId="00914C51" w14:textId="77777777" w:rsidR="002F3CB1" w:rsidRPr="002F3CB1" w:rsidRDefault="002F3CB1" w:rsidP="002F3CB1">
            <w:pPr>
              <w:rPr>
                <w:rFonts w:asciiTheme="majorHAnsi" w:hAnsiTheme="majorHAnsi"/>
                <w:b/>
              </w:rPr>
            </w:pPr>
            <w:r w:rsidRPr="002F3CB1">
              <w:rPr>
                <w:rFonts w:asciiTheme="majorHAnsi" w:hAnsiTheme="majorHAnsi"/>
                <w:b/>
                <w:i/>
                <w:iCs/>
              </w:rPr>
              <w:t>(Numéro et rue)</w:t>
            </w:r>
          </w:p>
          <w:p w14:paraId="61296424" w14:textId="77777777" w:rsidR="002F3CB1" w:rsidRPr="002F3CB1" w:rsidRDefault="002F3CB1" w:rsidP="002F3CB1">
            <w:pPr>
              <w:rPr>
                <w:rFonts w:asciiTheme="majorHAnsi" w:hAnsiTheme="majorHAnsi"/>
              </w:rPr>
            </w:pPr>
            <w:r w:rsidRPr="002F3CB1">
              <w:rPr>
                <w:rFonts w:asciiTheme="majorHAnsi" w:hAnsiTheme="majorHAnsi"/>
                <w:b/>
                <w:i/>
                <w:iCs/>
              </w:rPr>
              <w:t>(Code postal</w:t>
            </w:r>
            <w:r w:rsidRPr="002F3CB1">
              <w:rPr>
                <w:rFonts w:asciiTheme="majorHAnsi" w:hAnsiTheme="majorHAnsi"/>
                <w:b/>
              </w:rPr>
              <w:t xml:space="preserve"> et </w:t>
            </w:r>
            <w:r w:rsidRPr="002F3CB1">
              <w:rPr>
                <w:rFonts w:asciiTheme="majorHAnsi" w:hAnsiTheme="majorHAnsi"/>
                <w:b/>
                <w:i/>
                <w:iCs/>
              </w:rPr>
              <w:t>Ville</w:t>
            </w:r>
            <w:r w:rsidRPr="002F3CB1">
              <w:rPr>
                <w:rFonts w:asciiTheme="majorHAnsi" w:hAnsiTheme="majorHAnsi"/>
                <w:i/>
                <w:iCs/>
              </w:rPr>
              <w:t>)</w:t>
            </w:r>
          </w:p>
        </w:tc>
      </w:tr>
      <w:tr w:rsidR="002F3CB1" w:rsidRPr="002F3CB1" w14:paraId="1E240662" w14:textId="77777777" w:rsidTr="002F3CB1">
        <w:trPr>
          <w:tblCellSpacing w:w="50" w:type="dxa"/>
        </w:trPr>
        <w:tc>
          <w:tcPr>
            <w:tcW w:w="0" w:type="auto"/>
            <w:hideMark/>
          </w:tcPr>
          <w:p w14:paraId="1A5DDE40" w14:textId="47772D5D" w:rsidR="002F3CB1" w:rsidRPr="002F3CB1" w:rsidRDefault="002F3CB1" w:rsidP="002F3CB1">
            <w:pPr>
              <w:rPr>
                <w:rFonts w:asciiTheme="majorHAnsi" w:hAnsiTheme="majorHAnsi"/>
              </w:rPr>
            </w:pPr>
            <w:r w:rsidRPr="002F3CB1">
              <w:rPr>
                <w:rFonts w:asciiTheme="majorHAnsi" w:hAnsiTheme="majorHAnsi"/>
                <w:b/>
                <w:bCs/>
              </w:rPr>
              <w:t xml:space="preserve"> </w:t>
            </w:r>
            <w:r>
              <w:rPr>
                <w:rFonts w:asciiTheme="majorHAnsi" w:hAnsiTheme="majorHAnsi"/>
                <w:b/>
                <w:bCs/>
              </w:rPr>
              <w:t xml:space="preserve"> Pour </w:t>
            </w:r>
            <w:r w:rsidRPr="002F3CB1">
              <w:rPr>
                <w:rFonts w:asciiTheme="majorHAnsi" w:hAnsiTheme="majorHAnsi"/>
                <w:b/>
                <w:bCs/>
              </w:rPr>
              <w:t>une personne morale</w:t>
            </w:r>
          </w:p>
        </w:tc>
      </w:tr>
      <w:tr w:rsidR="002F3CB1" w:rsidRPr="002F3CB1" w14:paraId="3D47F129" w14:textId="77777777" w:rsidTr="002F3CB1">
        <w:trPr>
          <w:tblCellSpacing w:w="50" w:type="dxa"/>
        </w:trPr>
        <w:tc>
          <w:tcPr>
            <w:tcW w:w="0" w:type="auto"/>
            <w:vAlign w:val="center"/>
            <w:hideMark/>
          </w:tcPr>
          <w:p w14:paraId="67159BDD" w14:textId="77777777" w:rsidR="002F3CB1" w:rsidRPr="002F3CB1" w:rsidRDefault="002F3CB1" w:rsidP="002F3CB1">
            <w:pPr>
              <w:rPr>
                <w:rFonts w:asciiTheme="majorHAnsi" w:hAnsiTheme="majorHAnsi"/>
                <w:b/>
              </w:rPr>
            </w:pPr>
            <w:r w:rsidRPr="002F3CB1">
              <w:rPr>
                <w:rFonts w:asciiTheme="majorHAnsi" w:hAnsiTheme="majorHAnsi"/>
                <w:i/>
                <w:iCs/>
              </w:rPr>
              <w:t>(</w:t>
            </w:r>
            <w:r w:rsidRPr="002F3CB1">
              <w:rPr>
                <w:rFonts w:asciiTheme="majorHAnsi" w:hAnsiTheme="majorHAnsi"/>
                <w:b/>
                <w:i/>
                <w:iCs/>
              </w:rPr>
              <w:t>Dénomination sociale)</w:t>
            </w:r>
          </w:p>
          <w:p w14:paraId="43096B51" w14:textId="77777777" w:rsidR="002F3CB1" w:rsidRPr="002F3CB1" w:rsidRDefault="002F3CB1" w:rsidP="002F3CB1">
            <w:pPr>
              <w:rPr>
                <w:rFonts w:asciiTheme="majorHAnsi" w:hAnsiTheme="majorHAnsi"/>
                <w:b/>
              </w:rPr>
            </w:pPr>
            <w:r w:rsidRPr="002F3CB1">
              <w:rPr>
                <w:rFonts w:asciiTheme="majorHAnsi" w:hAnsiTheme="majorHAnsi"/>
                <w:b/>
                <w:i/>
                <w:iCs/>
              </w:rPr>
              <w:t>(Forme juridique)</w:t>
            </w:r>
            <w:r w:rsidRPr="002F3CB1">
              <w:rPr>
                <w:rFonts w:asciiTheme="majorHAnsi" w:hAnsiTheme="majorHAnsi"/>
                <w:b/>
              </w:rPr>
              <w:t xml:space="preserve"> au capital de </w:t>
            </w:r>
            <w:r w:rsidRPr="002F3CB1">
              <w:rPr>
                <w:rFonts w:asciiTheme="majorHAnsi" w:hAnsiTheme="majorHAnsi"/>
                <w:b/>
                <w:i/>
                <w:iCs/>
              </w:rPr>
              <w:t>(Montant du capital)</w:t>
            </w:r>
            <w:r w:rsidRPr="002F3CB1">
              <w:rPr>
                <w:rFonts w:asciiTheme="majorHAnsi" w:hAnsiTheme="majorHAnsi"/>
                <w:b/>
              </w:rPr>
              <w:t xml:space="preserve"> </w:t>
            </w:r>
          </w:p>
          <w:p w14:paraId="5B66C9D5" w14:textId="77777777" w:rsidR="002F3CB1" w:rsidRPr="002F3CB1" w:rsidRDefault="002F3CB1" w:rsidP="002F3CB1">
            <w:pPr>
              <w:rPr>
                <w:rFonts w:asciiTheme="majorHAnsi" w:hAnsiTheme="majorHAnsi"/>
                <w:b/>
              </w:rPr>
            </w:pPr>
            <w:r w:rsidRPr="002F3CB1">
              <w:rPr>
                <w:rFonts w:asciiTheme="majorHAnsi" w:hAnsiTheme="majorHAnsi"/>
              </w:rPr>
              <w:t>Siège social</w:t>
            </w:r>
            <w:r w:rsidRPr="002F3CB1">
              <w:rPr>
                <w:rFonts w:asciiTheme="majorHAnsi" w:hAnsiTheme="majorHAnsi"/>
                <w:b/>
              </w:rPr>
              <w:t xml:space="preserve"> : </w:t>
            </w:r>
            <w:r w:rsidRPr="002F3CB1">
              <w:rPr>
                <w:rFonts w:asciiTheme="majorHAnsi" w:hAnsiTheme="majorHAnsi"/>
                <w:b/>
                <w:i/>
                <w:iCs/>
              </w:rPr>
              <w:t>(Numéro et rue</w:t>
            </w:r>
            <w:r w:rsidRPr="002F3CB1">
              <w:rPr>
                <w:rFonts w:asciiTheme="majorHAnsi" w:hAnsiTheme="majorHAnsi"/>
                <w:b/>
              </w:rPr>
              <w:t>)</w:t>
            </w:r>
            <w:r w:rsidRPr="002F3CB1">
              <w:rPr>
                <w:rFonts w:asciiTheme="majorHAnsi" w:hAnsiTheme="majorHAnsi"/>
                <w:b/>
                <w:i/>
                <w:iCs/>
              </w:rPr>
              <w:t xml:space="preserve"> (Code postal, Ville)</w:t>
            </w:r>
          </w:p>
          <w:p w14:paraId="1159CE31" w14:textId="77777777" w:rsidR="002F3CB1" w:rsidRPr="002F3CB1" w:rsidRDefault="002F3CB1" w:rsidP="002F3CB1">
            <w:pPr>
              <w:rPr>
                <w:rFonts w:asciiTheme="majorHAnsi" w:hAnsiTheme="majorHAnsi"/>
              </w:rPr>
            </w:pPr>
            <w:r w:rsidRPr="002F3CB1">
              <w:rPr>
                <w:rFonts w:asciiTheme="majorHAnsi" w:hAnsiTheme="majorHAnsi"/>
                <w:b/>
                <w:i/>
                <w:iCs/>
              </w:rPr>
              <w:t>(Numéro d'immatriculation au RCS ou SIREN)</w:t>
            </w:r>
          </w:p>
        </w:tc>
      </w:tr>
      <w:tr w:rsidR="0041301F" w:rsidRPr="0041301F" w14:paraId="287DE6D5" w14:textId="77777777" w:rsidTr="0041301F">
        <w:trPr>
          <w:tblCellSpacing w:w="50" w:type="dxa"/>
        </w:trPr>
        <w:tc>
          <w:tcPr>
            <w:tcW w:w="0" w:type="auto"/>
            <w:vAlign w:val="center"/>
            <w:hideMark/>
          </w:tcPr>
          <w:p w14:paraId="4EEE0662" w14:textId="77777777" w:rsidR="0041301F" w:rsidRPr="0041301F" w:rsidRDefault="0041301F" w:rsidP="0041301F">
            <w:pPr>
              <w:jc w:val="right"/>
              <w:rPr>
                <w:rFonts w:asciiTheme="majorHAnsi" w:hAnsiTheme="majorHAnsi"/>
                <w:b/>
                <w:i/>
                <w:iCs/>
              </w:rPr>
            </w:pPr>
            <w:r w:rsidRPr="0041301F">
              <w:rPr>
                <w:rFonts w:asciiTheme="majorHAnsi" w:hAnsiTheme="majorHAnsi"/>
                <w:b/>
                <w:i/>
                <w:iCs/>
              </w:rPr>
              <w:t>(Nom de l'auteur de la décision)</w:t>
            </w:r>
          </w:p>
          <w:p w14:paraId="1C77B7F8" w14:textId="77777777" w:rsidR="0041301F" w:rsidRPr="0041301F" w:rsidRDefault="0041301F" w:rsidP="0041301F">
            <w:pPr>
              <w:jc w:val="right"/>
              <w:rPr>
                <w:rFonts w:asciiTheme="majorHAnsi" w:hAnsiTheme="majorHAnsi"/>
                <w:b/>
                <w:i/>
                <w:iCs/>
              </w:rPr>
            </w:pPr>
            <w:r w:rsidRPr="0041301F">
              <w:rPr>
                <w:rFonts w:asciiTheme="majorHAnsi" w:hAnsiTheme="majorHAnsi"/>
                <w:b/>
                <w:i/>
                <w:iCs/>
              </w:rPr>
              <w:t>(Numéro et rue)</w:t>
            </w:r>
          </w:p>
          <w:p w14:paraId="37D95AD1" w14:textId="77777777" w:rsidR="0041301F" w:rsidRPr="0041301F" w:rsidRDefault="0041301F" w:rsidP="0041301F">
            <w:pPr>
              <w:jc w:val="right"/>
              <w:rPr>
                <w:rFonts w:asciiTheme="majorHAnsi" w:hAnsiTheme="majorHAnsi"/>
                <w:i/>
                <w:iCs/>
              </w:rPr>
            </w:pPr>
            <w:r w:rsidRPr="0041301F">
              <w:rPr>
                <w:rFonts w:asciiTheme="majorHAnsi" w:hAnsiTheme="majorHAnsi"/>
                <w:b/>
                <w:i/>
                <w:iCs/>
              </w:rPr>
              <w:t>(Code postal et Ville</w:t>
            </w:r>
            <w:r w:rsidRPr="0041301F">
              <w:rPr>
                <w:rFonts w:asciiTheme="majorHAnsi" w:hAnsiTheme="majorHAnsi"/>
                <w:i/>
                <w:iCs/>
              </w:rPr>
              <w:t>)</w:t>
            </w:r>
          </w:p>
        </w:tc>
      </w:tr>
    </w:tbl>
    <w:p w14:paraId="3962D6B0" w14:textId="77777777" w:rsidR="00643F2D" w:rsidRDefault="00643F2D" w:rsidP="0041301F">
      <w:pPr>
        <w:jc w:val="right"/>
        <w:rPr>
          <w:rFonts w:asciiTheme="majorHAnsi" w:hAnsiTheme="majorHAnsi"/>
        </w:rPr>
      </w:pPr>
    </w:p>
    <w:p w14:paraId="02095F2C" w14:textId="77777777" w:rsidR="0041301F" w:rsidRDefault="0041301F" w:rsidP="0041301F">
      <w:pPr>
        <w:jc w:val="right"/>
        <w:rPr>
          <w:rFonts w:asciiTheme="majorHAnsi" w:hAnsiTheme="majorHAnsi"/>
        </w:rPr>
      </w:pPr>
    </w:p>
    <w:p w14:paraId="3C94C013" w14:textId="31996F60" w:rsidR="0041301F" w:rsidRPr="00643F2D" w:rsidRDefault="0041301F" w:rsidP="0041301F">
      <w:pPr>
        <w:jc w:val="right"/>
        <w:rPr>
          <w:rFonts w:asciiTheme="majorHAnsi" w:hAnsiTheme="majorHAnsi"/>
        </w:rPr>
      </w:pPr>
      <w:r>
        <w:rPr>
          <w:rFonts w:asciiTheme="majorHAnsi" w:hAnsiTheme="majorHAnsi"/>
        </w:rPr>
        <w:t xml:space="preserve">Le </w:t>
      </w:r>
      <w:r w:rsidRPr="0041301F">
        <w:rPr>
          <w:rFonts w:asciiTheme="majorHAnsi" w:hAnsiTheme="majorHAnsi"/>
          <w:b/>
        </w:rPr>
        <w:t>(date)</w:t>
      </w:r>
    </w:p>
    <w:p w14:paraId="1FD2F35C" w14:textId="77777777" w:rsidR="00643F2D" w:rsidRPr="00643F2D" w:rsidRDefault="00643F2D">
      <w:pPr>
        <w:rPr>
          <w:rFonts w:asciiTheme="majorHAnsi" w:hAnsiTheme="majorHAnsi"/>
        </w:rPr>
      </w:pPr>
    </w:p>
    <w:p w14:paraId="35EFA7CF" w14:textId="77777777" w:rsidR="00643F2D" w:rsidRPr="00643F2D" w:rsidRDefault="00643F2D" w:rsidP="00643F2D">
      <w:pPr>
        <w:rPr>
          <w:rFonts w:asciiTheme="majorHAnsi" w:hAnsiTheme="majorHAnsi"/>
          <w:vanish/>
        </w:rPr>
      </w:pPr>
    </w:p>
    <w:p w14:paraId="7EE54F75" w14:textId="77777777" w:rsidR="00643F2D" w:rsidRPr="00643F2D" w:rsidRDefault="00643F2D" w:rsidP="00643F2D">
      <w:pPr>
        <w:rPr>
          <w:rFonts w:asciiTheme="majorHAnsi" w:hAnsiTheme="majorHAnsi"/>
        </w:rPr>
      </w:pPr>
    </w:p>
    <w:tbl>
      <w:tblPr>
        <w:tblW w:w="5000" w:type="pct"/>
        <w:tblCellSpacing w:w="0" w:type="dxa"/>
        <w:tblCellMar>
          <w:left w:w="0" w:type="dxa"/>
          <w:right w:w="0" w:type="dxa"/>
        </w:tblCellMar>
        <w:tblLook w:val="04A0" w:firstRow="1" w:lastRow="0" w:firstColumn="1" w:lastColumn="0" w:noHBand="0" w:noVBand="1"/>
      </w:tblPr>
      <w:tblGrid>
        <w:gridCol w:w="9066"/>
      </w:tblGrid>
      <w:tr w:rsidR="00643F2D" w:rsidRPr="00643F2D" w14:paraId="5AE76AD8" w14:textId="77777777" w:rsidTr="002F3CB1">
        <w:trPr>
          <w:tblCellSpacing w:w="0" w:type="dxa"/>
        </w:trPr>
        <w:tc>
          <w:tcPr>
            <w:tcW w:w="0" w:type="auto"/>
            <w:vAlign w:val="center"/>
            <w:hideMark/>
          </w:tcPr>
          <w:p w14:paraId="3E2635B6" w14:textId="77777777" w:rsidR="00643F2D" w:rsidRPr="00643F2D" w:rsidRDefault="00643F2D" w:rsidP="00643F2D">
            <w:pPr>
              <w:rPr>
                <w:rFonts w:asciiTheme="majorHAnsi" w:hAnsiTheme="majorHAnsi"/>
              </w:rPr>
            </w:pPr>
            <w:r w:rsidRPr="00643F2D">
              <w:rPr>
                <w:rFonts w:asciiTheme="majorHAnsi" w:hAnsiTheme="majorHAnsi"/>
              </w:rPr>
              <w:t>Lettre recommandée avec demande d'avis de réception</w:t>
            </w:r>
          </w:p>
        </w:tc>
      </w:tr>
    </w:tbl>
    <w:p w14:paraId="7AFAD79A" w14:textId="77777777" w:rsidR="00643F2D" w:rsidRPr="00643F2D" w:rsidRDefault="00643F2D">
      <w:pPr>
        <w:rPr>
          <w:rFonts w:asciiTheme="majorHAnsi" w:hAnsiTheme="majorHAnsi"/>
        </w:rPr>
      </w:pPr>
    </w:p>
    <w:p w14:paraId="042E27CF" w14:textId="77777777" w:rsidR="00643F2D" w:rsidRPr="00643F2D" w:rsidRDefault="007D7873">
      <w:pPr>
        <w:rPr>
          <w:rFonts w:asciiTheme="majorHAnsi" w:hAnsiTheme="majorHAnsi"/>
        </w:rPr>
      </w:pPr>
      <w:r>
        <w:rPr>
          <w:rFonts w:asciiTheme="majorHAnsi" w:hAnsiTheme="majorHAnsi"/>
        </w:rPr>
        <w:t>Madame, Monsieur,</w:t>
      </w:r>
    </w:p>
    <w:p w14:paraId="79B9E339" w14:textId="77777777" w:rsidR="00643F2D" w:rsidRPr="00643F2D" w:rsidRDefault="00643F2D">
      <w:pPr>
        <w:rPr>
          <w:rFonts w:asciiTheme="majorHAnsi" w:hAnsiTheme="majorHAnsi"/>
        </w:rPr>
      </w:pPr>
    </w:p>
    <w:p w14:paraId="6B4EF64B" w14:textId="77777777" w:rsidR="00643F2D" w:rsidRPr="00643F2D" w:rsidRDefault="00643F2D">
      <w:pPr>
        <w:rPr>
          <w:rFonts w:asciiTheme="majorHAnsi" w:hAnsiTheme="majorHAnsi"/>
        </w:rPr>
      </w:pPr>
    </w:p>
    <w:tbl>
      <w:tblPr>
        <w:tblW w:w="5000" w:type="pct"/>
        <w:tblCellSpacing w:w="50" w:type="dxa"/>
        <w:tblCellMar>
          <w:left w:w="0" w:type="dxa"/>
          <w:right w:w="0" w:type="dxa"/>
        </w:tblCellMar>
        <w:tblLook w:val="04A0" w:firstRow="1" w:lastRow="0" w:firstColumn="1" w:lastColumn="0" w:noHBand="0" w:noVBand="1"/>
      </w:tblPr>
      <w:tblGrid>
        <w:gridCol w:w="9266"/>
      </w:tblGrid>
      <w:tr w:rsidR="004B2A99" w:rsidRPr="00643F2D" w14:paraId="207AF4D7" w14:textId="77777777" w:rsidTr="004B2A99">
        <w:trPr>
          <w:tblCellSpacing w:w="50" w:type="dxa"/>
        </w:trPr>
        <w:tc>
          <w:tcPr>
            <w:tcW w:w="0" w:type="auto"/>
            <w:hideMark/>
          </w:tcPr>
          <w:p w14:paraId="4F4B8D5C" w14:textId="77777777" w:rsidR="004B2A99" w:rsidRPr="00643F2D" w:rsidRDefault="004B2A99" w:rsidP="004B2A99">
            <w:pPr>
              <w:rPr>
                <w:rFonts w:asciiTheme="majorHAnsi" w:hAnsiTheme="majorHAnsi"/>
              </w:rPr>
            </w:pPr>
          </w:p>
        </w:tc>
      </w:tr>
      <w:tr w:rsidR="004B2A99" w:rsidRPr="00643F2D" w14:paraId="3F2B2EBD" w14:textId="77777777" w:rsidTr="004B2A99">
        <w:trPr>
          <w:tblCellSpacing w:w="50" w:type="dxa"/>
        </w:trPr>
        <w:tc>
          <w:tcPr>
            <w:tcW w:w="0" w:type="auto"/>
            <w:vAlign w:val="center"/>
            <w:hideMark/>
          </w:tcPr>
          <w:p w14:paraId="280F9D98" w14:textId="77777777" w:rsidR="00643F2D" w:rsidRDefault="004B2A99" w:rsidP="00643F2D">
            <w:pPr>
              <w:jc w:val="both"/>
              <w:rPr>
                <w:rFonts w:asciiTheme="majorHAnsi" w:hAnsiTheme="majorHAnsi"/>
              </w:rPr>
            </w:pPr>
            <w:r w:rsidRPr="00643F2D">
              <w:rPr>
                <w:rFonts w:asciiTheme="majorHAnsi" w:hAnsiTheme="majorHAnsi"/>
              </w:rPr>
              <w:t xml:space="preserve">Par demande en date du </w:t>
            </w:r>
            <w:r w:rsidR="007D7873">
              <w:rPr>
                <w:rFonts w:asciiTheme="majorHAnsi" w:hAnsiTheme="majorHAnsi"/>
                <w:i/>
                <w:iCs/>
              </w:rPr>
              <w:t>(</w:t>
            </w:r>
            <w:r w:rsidR="00643F2D" w:rsidRPr="007D7873">
              <w:rPr>
                <w:rFonts w:asciiTheme="majorHAnsi" w:hAnsiTheme="majorHAnsi"/>
                <w:b/>
                <w:i/>
                <w:iCs/>
              </w:rPr>
              <w:t>Précisez la</w:t>
            </w:r>
            <w:r w:rsidR="00643F2D">
              <w:rPr>
                <w:rFonts w:asciiTheme="majorHAnsi" w:hAnsiTheme="majorHAnsi"/>
                <w:i/>
                <w:iCs/>
              </w:rPr>
              <w:t xml:space="preserve"> </w:t>
            </w:r>
            <w:r w:rsidR="00643F2D">
              <w:rPr>
                <w:rFonts w:asciiTheme="majorHAnsi" w:hAnsiTheme="majorHAnsi"/>
                <w:b/>
                <w:i/>
                <w:iCs/>
              </w:rPr>
              <w:t>d</w:t>
            </w:r>
            <w:r w:rsidRPr="00643F2D">
              <w:rPr>
                <w:rFonts w:asciiTheme="majorHAnsi" w:hAnsiTheme="majorHAnsi"/>
                <w:b/>
                <w:i/>
                <w:iCs/>
              </w:rPr>
              <w:t>ate</w:t>
            </w:r>
            <w:r w:rsidR="007D7873">
              <w:rPr>
                <w:rFonts w:asciiTheme="majorHAnsi" w:hAnsiTheme="majorHAnsi"/>
                <w:i/>
                <w:iCs/>
              </w:rPr>
              <w:t>)</w:t>
            </w:r>
            <w:r w:rsidRPr="00643F2D">
              <w:rPr>
                <w:rFonts w:asciiTheme="majorHAnsi" w:hAnsiTheme="majorHAnsi"/>
              </w:rPr>
              <w:t xml:space="preserve"> qui vous a été adressée par lettre recommandée en date du </w:t>
            </w:r>
            <w:r w:rsidR="007D7873">
              <w:rPr>
                <w:rFonts w:asciiTheme="majorHAnsi" w:hAnsiTheme="majorHAnsi"/>
              </w:rPr>
              <w:t>(</w:t>
            </w:r>
            <w:r w:rsidR="00643F2D" w:rsidRPr="007D7873">
              <w:rPr>
                <w:rFonts w:asciiTheme="majorHAnsi" w:hAnsiTheme="majorHAnsi"/>
                <w:b/>
                <w:iCs/>
              </w:rPr>
              <w:t>Date</w:t>
            </w:r>
            <w:r w:rsidR="007D7873" w:rsidRPr="007D7873">
              <w:rPr>
                <w:rFonts w:asciiTheme="majorHAnsi" w:hAnsiTheme="majorHAnsi"/>
                <w:b/>
                <w:iCs/>
              </w:rPr>
              <w:t xml:space="preserve"> de l’accusé réception</w:t>
            </w:r>
            <w:r w:rsidR="007D7873">
              <w:rPr>
                <w:rFonts w:asciiTheme="majorHAnsi" w:hAnsiTheme="majorHAnsi"/>
                <w:b/>
                <w:iCs/>
              </w:rPr>
              <w:t>)</w:t>
            </w:r>
            <w:r w:rsidR="00643F2D" w:rsidRPr="00643F2D">
              <w:rPr>
                <w:rFonts w:asciiTheme="majorHAnsi" w:hAnsiTheme="majorHAnsi"/>
                <w:i/>
                <w:iCs/>
              </w:rPr>
              <w:t xml:space="preserve"> </w:t>
            </w:r>
            <w:r w:rsidR="00643F2D" w:rsidRPr="007D7873">
              <w:rPr>
                <w:rFonts w:asciiTheme="majorHAnsi" w:hAnsiTheme="majorHAnsi"/>
                <w:b/>
                <w:iCs/>
              </w:rPr>
              <w:t>(J</w:t>
            </w:r>
            <w:r w:rsidRPr="007D7873">
              <w:rPr>
                <w:rFonts w:asciiTheme="majorHAnsi" w:hAnsiTheme="majorHAnsi"/>
                <w:b/>
                <w:iCs/>
              </w:rPr>
              <w:t>oin</w:t>
            </w:r>
            <w:r w:rsidR="00643F2D" w:rsidRPr="007D7873">
              <w:rPr>
                <w:rFonts w:asciiTheme="majorHAnsi" w:hAnsiTheme="majorHAnsi"/>
                <w:b/>
                <w:iCs/>
              </w:rPr>
              <w:t>dre l'accusé de réception de la poste</w:t>
            </w:r>
            <w:r w:rsidR="007D7873">
              <w:rPr>
                <w:rFonts w:asciiTheme="majorHAnsi" w:hAnsiTheme="majorHAnsi"/>
                <w:i/>
                <w:iCs/>
              </w:rPr>
              <w:t>)</w:t>
            </w:r>
            <w:r w:rsidRPr="00643F2D">
              <w:rPr>
                <w:rFonts w:asciiTheme="majorHAnsi" w:hAnsiTheme="majorHAnsi"/>
              </w:rPr>
              <w:t xml:space="preserve">, </w:t>
            </w:r>
          </w:p>
          <w:p w14:paraId="7A1DA09D" w14:textId="77777777" w:rsidR="00643F2D" w:rsidRDefault="00643F2D" w:rsidP="00643F2D">
            <w:pPr>
              <w:jc w:val="both"/>
              <w:rPr>
                <w:rFonts w:asciiTheme="majorHAnsi" w:hAnsiTheme="majorHAnsi"/>
              </w:rPr>
            </w:pPr>
          </w:p>
          <w:p w14:paraId="5DA7A36A" w14:textId="77777777" w:rsidR="00643F2D" w:rsidRDefault="004B2A99" w:rsidP="00643F2D">
            <w:pPr>
              <w:rPr>
                <w:rFonts w:asciiTheme="majorHAnsi" w:hAnsiTheme="majorHAnsi"/>
              </w:rPr>
            </w:pPr>
            <w:r w:rsidRPr="00643F2D">
              <w:rPr>
                <w:rFonts w:asciiTheme="majorHAnsi" w:hAnsiTheme="majorHAnsi"/>
                <w:b/>
                <w:i/>
                <w:iCs/>
              </w:rPr>
              <w:t>Rappel</w:t>
            </w:r>
            <w:r w:rsidR="00643F2D" w:rsidRPr="00643F2D">
              <w:rPr>
                <w:rFonts w:asciiTheme="majorHAnsi" w:hAnsiTheme="majorHAnsi"/>
                <w:b/>
                <w:i/>
                <w:iCs/>
              </w:rPr>
              <w:t>ez</w:t>
            </w:r>
            <w:r w:rsidRPr="00643F2D">
              <w:rPr>
                <w:rFonts w:asciiTheme="majorHAnsi" w:hAnsiTheme="majorHAnsi"/>
                <w:b/>
                <w:i/>
                <w:iCs/>
              </w:rPr>
              <w:t xml:space="preserve"> l'objet de la demande</w:t>
            </w:r>
            <w:r w:rsidR="00643F2D" w:rsidRPr="00643F2D">
              <w:rPr>
                <w:rFonts w:asciiTheme="majorHAnsi" w:hAnsiTheme="majorHAnsi"/>
                <w:b/>
                <w:i/>
                <w:iCs/>
              </w:rPr>
              <w:t xml:space="preserve"> initiale</w:t>
            </w:r>
            <w:r w:rsidRPr="00643F2D">
              <w:rPr>
                <w:rFonts w:asciiTheme="majorHAnsi" w:hAnsiTheme="majorHAnsi"/>
              </w:rPr>
              <w:br/>
            </w:r>
          </w:p>
          <w:p w14:paraId="0335076F" w14:textId="77777777" w:rsidR="007D7873" w:rsidRPr="007D7873" w:rsidRDefault="007D7873" w:rsidP="007D7873">
            <w:pPr>
              <w:jc w:val="both"/>
              <w:rPr>
                <w:rFonts w:asciiTheme="majorHAnsi" w:hAnsiTheme="majorHAnsi"/>
              </w:rPr>
            </w:pPr>
            <w:r>
              <w:rPr>
                <w:rFonts w:asciiTheme="majorHAnsi" w:hAnsiTheme="majorHAnsi"/>
              </w:rPr>
              <w:t>Or, aux termes des dispositions de l’</w:t>
            </w:r>
            <w:r w:rsidRPr="007D7873">
              <w:rPr>
                <w:rFonts w:asciiTheme="majorHAnsi" w:hAnsiTheme="majorHAnsi"/>
              </w:rPr>
              <w:t>article 1 de la loi 79-587 du 11 juillet 1979 modifié par la loi 86-76 du 17 janvier 1986, relative à la motivation des actes administratifs et à l'amélioration des relations entre l'administration et le public dispose que les personnes physiques ou morales ont le droit d'être informées sans délai des décisions administratives défavorables qui les concernent. A cet effet doivent être motivées les décisions qui :</w:t>
            </w:r>
          </w:p>
          <w:p w14:paraId="246ACC59" w14:textId="77777777" w:rsidR="007D7873" w:rsidRPr="007D7873" w:rsidRDefault="007D7873" w:rsidP="007D7873">
            <w:pPr>
              <w:jc w:val="both"/>
              <w:rPr>
                <w:rFonts w:asciiTheme="majorHAnsi" w:hAnsiTheme="majorHAnsi"/>
              </w:rPr>
            </w:pPr>
            <w:r w:rsidRPr="007D7873">
              <w:rPr>
                <w:rFonts w:asciiTheme="majorHAnsi" w:hAnsiTheme="majorHAnsi"/>
              </w:rPr>
              <w:t>-  restreignent l'exercice des libertés publiques ou, de manière générale, constituent une mesure de police ;</w:t>
            </w:r>
          </w:p>
          <w:p w14:paraId="302E2D74" w14:textId="77777777" w:rsidR="007D7873" w:rsidRPr="007D7873" w:rsidRDefault="007D7873" w:rsidP="007D7873">
            <w:pPr>
              <w:jc w:val="both"/>
              <w:rPr>
                <w:rFonts w:asciiTheme="majorHAnsi" w:hAnsiTheme="majorHAnsi"/>
              </w:rPr>
            </w:pPr>
            <w:r w:rsidRPr="007D7873">
              <w:rPr>
                <w:rFonts w:asciiTheme="majorHAnsi" w:hAnsiTheme="majorHAnsi"/>
              </w:rPr>
              <w:t>-  infligent une sanction ;</w:t>
            </w:r>
          </w:p>
          <w:p w14:paraId="769291AE" w14:textId="77777777" w:rsidR="007D7873" w:rsidRPr="007D7873" w:rsidRDefault="007D7873" w:rsidP="007D7873">
            <w:pPr>
              <w:jc w:val="both"/>
              <w:rPr>
                <w:rFonts w:asciiTheme="majorHAnsi" w:hAnsiTheme="majorHAnsi"/>
              </w:rPr>
            </w:pPr>
            <w:r w:rsidRPr="007D7873">
              <w:rPr>
                <w:rFonts w:asciiTheme="majorHAnsi" w:hAnsiTheme="majorHAnsi"/>
              </w:rPr>
              <w:t>-  subordonnent l'octroi d'une autorisation à des conditions restrictives ou imposent des sujétions ;</w:t>
            </w:r>
          </w:p>
          <w:p w14:paraId="6FEBB88B" w14:textId="77777777" w:rsidR="007D7873" w:rsidRPr="007D7873" w:rsidRDefault="007D7873" w:rsidP="007D7873">
            <w:pPr>
              <w:jc w:val="both"/>
              <w:rPr>
                <w:rFonts w:asciiTheme="majorHAnsi" w:hAnsiTheme="majorHAnsi"/>
              </w:rPr>
            </w:pPr>
            <w:r w:rsidRPr="007D7873">
              <w:rPr>
                <w:rFonts w:asciiTheme="majorHAnsi" w:hAnsiTheme="majorHAnsi"/>
              </w:rPr>
              <w:t>-  retirent ou abrogent une décision créatrice de droit ;</w:t>
            </w:r>
          </w:p>
          <w:p w14:paraId="4113A1E9" w14:textId="77777777" w:rsidR="007D7873" w:rsidRPr="007D7873" w:rsidRDefault="007D7873" w:rsidP="007D7873">
            <w:pPr>
              <w:jc w:val="both"/>
              <w:rPr>
                <w:rFonts w:asciiTheme="majorHAnsi" w:hAnsiTheme="majorHAnsi"/>
              </w:rPr>
            </w:pPr>
            <w:r w:rsidRPr="007D7873">
              <w:rPr>
                <w:rFonts w:asciiTheme="majorHAnsi" w:hAnsiTheme="majorHAnsi"/>
              </w:rPr>
              <w:t>-  opposent une prescription, une forclusion ou une déchéance ;</w:t>
            </w:r>
          </w:p>
          <w:p w14:paraId="29373366" w14:textId="77777777" w:rsidR="007D7873" w:rsidRPr="007D7873" w:rsidRDefault="007D7873" w:rsidP="007D7873">
            <w:pPr>
              <w:jc w:val="both"/>
              <w:rPr>
                <w:rFonts w:asciiTheme="majorHAnsi" w:hAnsiTheme="majorHAnsi"/>
              </w:rPr>
            </w:pPr>
            <w:r w:rsidRPr="007D7873">
              <w:rPr>
                <w:rFonts w:asciiTheme="majorHAnsi" w:hAnsiTheme="majorHAnsi"/>
              </w:rPr>
              <w:t>-  refusent un avantage dont l'attribution constitue un droit pour les personnes qui remplissent les conditions légales pour l'obtenir ;</w:t>
            </w:r>
          </w:p>
          <w:p w14:paraId="45BB9C08" w14:textId="77777777" w:rsidR="007D7873" w:rsidRPr="007D7873" w:rsidRDefault="007D7873" w:rsidP="007D7873">
            <w:pPr>
              <w:jc w:val="both"/>
              <w:rPr>
                <w:rFonts w:asciiTheme="majorHAnsi" w:hAnsiTheme="majorHAnsi"/>
              </w:rPr>
            </w:pPr>
            <w:r w:rsidRPr="007D7873">
              <w:rPr>
                <w:rFonts w:asciiTheme="majorHAnsi" w:hAnsiTheme="majorHAnsi"/>
              </w:rPr>
              <w:t>-  refusent une autorisation sauf lorsque la communication des motifs pourrait être de nature à porter atteinte à l'un des secrets ou intérêts protégés par les dispositions de la loi 78-583 du 17 juillet 1978, article 6, alinéas 2 à 5.</w:t>
            </w:r>
          </w:p>
          <w:p w14:paraId="495DBFCA" w14:textId="77777777" w:rsidR="007D7873" w:rsidRPr="007D7873" w:rsidRDefault="007D7873" w:rsidP="007D7873">
            <w:pPr>
              <w:rPr>
                <w:rFonts w:asciiTheme="majorHAnsi" w:hAnsiTheme="majorHAnsi"/>
              </w:rPr>
            </w:pPr>
          </w:p>
          <w:p w14:paraId="2C937CE7" w14:textId="77777777" w:rsidR="007D7873" w:rsidRPr="007D7873" w:rsidRDefault="007D7873" w:rsidP="007D7873">
            <w:pPr>
              <w:jc w:val="both"/>
              <w:rPr>
                <w:rFonts w:asciiTheme="majorHAnsi" w:hAnsiTheme="majorHAnsi"/>
              </w:rPr>
            </w:pPr>
            <w:r w:rsidRPr="007D7873">
              <w:rPr>
                <w:rFonts w:asciiTheme="majorHAnsi" w:hAnsiTheme="majorHAnsi"/>
              </w:rPr>
              <w:t>L'article 2 de la même loi dispose que doivent également être motivées les décisions individuelles qui dérogent aux règles générales fixées par la loi ou le règlement.</w:t>
            </w:r>
            <w:r w:rsidRPr="007D7873">
              <w:rPr>
                <w:rFonts w:asciiTheme="majorHAnsi" w:hAnsiTheme="majorHAnsi"/>
              </w:rPr>
              <w:br/>
            </w:r>
          </w:p>
          <w:p w14:paraId="312B7F90" w14:textId="77777777" w:rsidR="007D7873" w:rsidRPr="007D7873" w:rsidRDefault="007D7873" w:rsidP="007D7873">
            <w:pPr>
              <w:jc w:val="both"/>
              <w:rPr>
                <w:rFonts w:asciiTheme="majorHAnsi" w:hAnsiTheme="majorHAnsi"/>
              </w:rPr>
            </w:pPr>
            <w:r w:rsidRPr="007D7873">
              <w:rPr>
                <w:rFonts w:asciiTheme="majorHAnsi" w:hAnsiTheme="majorHAnsi"/>
              </w:rPr>
              <w:t>Aux termes de l'article 3, la motivation exigée par ladite loi doit être écrite et comporter l'énoncé des considérations de droit et de fait qui constituent le fondement de la décision.</w:t>
            </w:r>
            <w:r w:rsidRPr="007D7873">
              <w:rPr>
                <w:rFonts w:asciiTheme="majorHAnsi" w:hAnsiTheme="majorHAnsi"/>
              </w:rPr>
              <w:br/>
            </w:r>
          </w:p>
          <w:p w14:paraId="6CC98263" w14:textId="77777777" w:rsidR="007D7873" w:rsidRPr="007D7873" w:rsidRDefault="007D7873" w:rsidP="007D7873">
            <w:pPr>
              <w:jc w:val="both"/>
              <w:rPr>
                <w:rFonts w:asciiTheme="majorHAnsi" w:hAnsiTheme="majorHAnsi"/>
              </w:rPr>
            </w:pPr>
            <w:r w:rsidRPr="007D7873">
              <w:rPr>
                <w:rFonts w:asciiTheme="majorHAnsi" w:hAnsiTheme="majorHAnsi"/>
              </w:rPr>
              <w:t xml:space="preserve">L'article 5 prévoit qu'à la demande de l'intéressé, formulée dans les délais du recours contentieux, les motifs de toute décision implicite de rejet devront lui être communiqués dans le mois suivant cette demande. </w:t>
            </w:r>
          </w:p>
          <w:p w14:paraId="099C1052" w14:textId="03D9C546" w:rsidR="007D7873" w:rsidRDefault="007D7873" w:rsidP="007D7873">
            <w:pPr>
              <w:jc w:val="both"/>
              <w:rPr>
                <w:rFonts w:asciiTheme="majorHAnsi" w:hAnsiTheme="majorHAnsi"/>
              </w:rPr>
            </w:pPr>
            <w:r w:rsidRPr="007D7873">
              <w:rPr>
                <w:rFonts w:asciiTheme="majorHAnsi" w:hAnsiTheme="majorHAnsi"/>
              </w:rPr>
              <w:t>Dans ce cas, le délai du recours contentieux contre ladite décision est prorogé jusqu'à l'expiration des deux mois suivan</w:t>
            </w:r>
            <w:r>
              <w:rPr>
                <w:rFonts w:asciiTheme="majorHAnsi" w:hAnsiTheme="majorHAnsi"/>
              </w:rPr>
              <w:t>t le jour où le motif lui aura</w:t>
            </w:r>
            <w:r w:rsidR="0041301F">
              <w:rPr>
                <w:rFonts w:asciiTheme="majorHAnsi" w:hAnsiTheme="majorHAnsi"/>
              </w:rPr>
              <w:t xml:space="preserve"> été communiqués.</w:t>
            </w:r>
          </w:p>
          <w:p w14:paraId="432AD31C" w14:textId="77777777" w:rsidR="007D7873" w:rsidRDefault="007D7873" w:rsidP="00643F2D">
            <w:pPr>
              <w:rPr>
                <w:rFonts w:asciiTheme="majorHAnsi" w:hAnsiTheme="majorHAnsi"/>
              </w:rPr>
            </w:pPr>
          </w:p>
          <w:p w14:paraId="437E2261" w14:textId="77777777" w:rsidR="004B2A99" w:rsidRDefault="007D7873" w:rsidP="00643F2D">
            <w:pPr>
              <w:jc w:val="both"/>
              <w:rPr>
                <w:rFonts w:asciiTheme="majorHAnsi" w:hAnsiTheme="majorHAnsi"/>
              </w:rPr>
            </w:pPr>
            <w:r>
              <w:rPr>
                <w:rFonts w:asciiTheme="majorHAnsi" w:hAnsiTheme="majorHAnsi"/>
              </w:rPr>
              <w:t>En l’espèce, u</w:t>
            </w:r>
            <w:r w:rsidR="004B2A99" w:rsidRPr="00643F2D">
              <w:rPr>
                <w:rFonts w:asciiTheme="majorHAnsi" w:hAnsiTheme="majorHAnsi"/>
              </w:rPr>
              <w:t xml:space="preserve">ne décision implicite de rejet </w:t>
            </w:r>
            <w:r w:rsidR="00643F2D">
              <w:rPr>
                <w:rFonts w:asciiTheme="majorHAnsi" w:hAnsiTheme="majorHAnsi"/>
              </w:rPr>
              <w:t xml:space="preserve">est née </w:t>
            </w:r>
            <w:r w:rsidR="004B2A99" w:rsidRPr="00643F2D">
              <w:rPr>
                <w:rFonts w:asciiTheme="majorHAnsi" w:hAnsiTheme="majorHAnsi"/>
              </w:rPr>
              <w:t>résultant du silence de plu</w:t>
            </w:r>
            <w:r w:rsidR="00643F2D">
              <w:rPr>
                <w:rFonts w:asciiTheme="majorHAnsi" w:hAnsiTheme="majorHAnsi"/>
              </w:rPr>
              <w:t>s de deux</w:t>
            </w:r>
            <w:r w:rsidR="004B2A99" w:rsidRPr="00643F2D">
              <w:rPr>
                <w:rFonts w:asciiTheme="majorHAnsi" w:hAnsiTheme="majorHAnsi"/>
              </w:rPr>
              <w:t xml:space="preserve"> mois de votre administration, je vous serais obligé de bien vouloir me faire connaître, par application des dispositions de la loi 79-587 du 11 juillet 1979</w:t>
            </w:r>
            <w:r>
              <w:rPr>
                <w:rFonts w:asciiTheme="majorHAnsi" w:hAnsiTheme="majorHAnsi"/>
              </w:rPr>
              <w:t xml:space="preserve"> précitées</w:t>
            </w:r>
            <w:r w:rsidR="004B2A99" w:rsidRPr="00643F2D">
              <w:rPr>
                <w:rFonts w:asciiTheme="majorHAnsi" w:hAnsiTheme="majorHAnsi"/>
              </w:rPr>
              <w:t>, l'énoncé des considérations de fait et de droit sur lesquelles vous avez fondé ce rejet implicite.</w:t>
            </w:r>
          </w:p>
          <w:p w14:paraId="58F9B176" w14:textId="77777777" w:rsidR="0041301F" w:rsidRDefault="0041301F" w:rsidP="00643F2D">
            <w:pPr>
              <w:jc w:val="both"/>
              <w:rPr>
                <w:rFonts w:asciiTheme="majorHAnsi" w:hAnsiTheme="majorHAnsi"/>
              </w:rPr>
            </w:pPr>
          </w:p>
          <w:p w14:paraId="486E1193" w14:textId="19BD91A3" w:rsidR="0041301F" w:rsidRDefault="0041301F" w:rsidP="00643F2D">
            <w:pPr>
              <w:jc w:val="both"/>
              <w:rPr>
                <w:rFonts w:asciiTheme="majorHAnsi" w:hAnsiTheme="majorHAnsi"/>
              </w:rPr>
            </w:pPr>
            <w:r>
              <w:rPr>
                <w:rFonts w:asciiTheme="majorHAnsi" w:hAnsiTheme="majorHAnsi"/>
              </w:rPr>
              <w:t>Dans l’attente de vous lire,</w:t>
            </w:r>
          </w:p>
          <w:p w14:paraId="7E19EDFB" w14:textId="77777777" w:rsidR="0041301F" w:rsidRDefault="0041301F" w:rsidP="00643F2D">
            <w:pPr>
              <w:jc w:val="both"/>
              <w:rPr>
                <w:rFonts w:asciiTheme="majorHAnsi" w:hAnsiTheme="majorHAnsi"/>
              </w:rPr>
            </w:pPr>
          </w:p>
          <w:p w14:paraId="43CBA886" w14:textId="77777777" w:rsidR="0041301F" w:rsidRPr="0041301F" w:rsidRDefault="0041301F" w:rsidP="0041301F">
            <w:pPr>
              <w:jc w:val="both"/>
              <w:rPr>
                <w:rFonts w:asciiTheme="majorHAnsi" w:hAnsiTheme="majorHAnsi"/>
              </w:rPr>
            </w:pPr>
            <w:r w:rsidRPr="0041301F">
              <w:rPr>
                <w:rFonts w:asciiTheme="majorHAnsi" w:hAnsiTheme="majorHAnsi"/>
              </w:rPr>
              <w:t>Veuillez agréer,</w:t>
            </w:r>
            <w:r w:rsidRPr="0041301F">
              <w:rPr>
                <w:rFonts w:asciiTheme="majorHAnsi" w:hAnsiTheme="majorHAnsi"/>
                <w:i/>
                <w:iCs/>
              </w:rPr>
              <w:t>- Madame, Monsieur,</w:t>
            </w:r>
            <w:r w:rsidRPr="0041301F">
              <w:rPr>
                <w:rFonts w:asciiTheme="majorHAnsi" w:hAnsiTheme="majorHAnsi"/>
              </w:rPr>
              <w:t xml:space="preserve"> l'assurance de ma considération distinguée.</w:t>
            </w:r>
            <w:r w:rsidRPr="0041301F">
              <w:rPr>
                <w:rFonts w:asciiTheme="majorHAnsi" w:hAnsiTheme="majorHAnsi"/>
              </w:rPr>
              <w:br/>
            </w:r>
          </w:p>
          <w:p w14:paraId="5CF1B149" w14:textId="77777777" w:rsidR="0041301F" w:rsidRPr="00643F2D" w:rsidRDefault="0041301F" w:rsidP="00643F2D">
            <w:pPr>
              <w:jc w:val="both"/>
              <w:rPr>
                <w:rFonts w:asciiTheme="majorHAnsi" w:hAnsiTheme="majorHAnsi"/>
              </w:rPr>
            </w:pPr>
          </w:p>
        </w:tc>
      </w:tr>
      <w:tr w:rsidR="0041301F" w:rsidRPr="0041301F" w14:paraId="2EC4499F" w14:textId="77777777" w:rsidTr="0041301F">
        <w:trPr>
          <w:tblCellSpacing w:w="50" w:type="dxa"/>
        </w:trPr>
        <w:tc>
          <w:tcPr>
            <w:tcW w:w="0" w:type="auto"/>
            <w:vAlign w:val="center"/>
            <w:hideMark/>
          </w:tcPr>
          <w:p w14:paraId="5926A32D" w14:textId="77777777" w:rsidR="0041301F" w:rsidRPr="0041301F" w:rsidRDefault="0041301F" w:rsidP="0041301F">
            <w:pPr>
              <w:jc w:val="right"/>
              <w:rPr>
                <w:rFonts w:asciiTheme="majorHAnsi" w:hAnsiTheme="majorHAnsi"/>
                <w:b/>
              </w:rPr>
            </w:pPr>
          </w:p>
          <w:p w14:paraId="3A4ED914" w14:textId="77777777" w:rsidR="0041301F" w:rsidRPr="0041301F" w:rsidRDefault="0041301F" w:rsidP="0041301F">
            <w:pPr>
              <w:jc w:val="right"/>
              <w:rPr>
                <w:rFonts w:asciiTheme="majorHAnsi" w:hAnsiTheme="majorHAnsi"/>
                <w:b/>
              </w:rPr>
            </w:pPr>
          </w:p>
          <w:p w14:paraId="7DEAA509" w14:textId="77777777" w:rsidR="0041301F" w:rsidRPr="0041301F" w:rsidRDefault="0041301F" w:rsidP="0041301F">
            <w:pPr>
              <w:jc w:val="right"/>
              <w:rPr>
                <w:rFonts w:asciiTheme="majorHAnsi" w:hAnsiTheme="majorHAnsi"/>
                <w:b/>
              </w:rPr>
            </w:pPr>
          </w:p>
          <w:p w14:paraId="0EC17579" w14:textId="77777777" w:rsidR="0041301F" w:rsidRPr="0041301F" w:rsidRDefault="0041301F" w:rsidP="0041301F">
            <w:pPr>
              <w:jc w:val="right"/>
              <w:rPr>
                <w:rFonts w:asciiTheme="majorHAnsi" w:hAnsiTheme="majorHAnsi"/>
                <w:b/>
              </w:rPr>
            </w:pPr>
            <w:r w:rsidRPr="0041301F">
              <w:rPr>
                <w:rFonts w:asciiTheme="majorHAnsi" w:hAnsiTheme="majorHAnsi"/>
                <w:b/>
              </w:rPr>
              <w:t>Si personne physique</w:t>
            </w:r>
          </w:p>
        </w:tc>
      </w:tr>
      <w:tr w:rsidR="0041301F" w:rsidRPr="0041301F" w14:paraId="0094A1BA" w14:textId="77777777" w:rsidTr="0041301F">
        <w:trPr>
          <w:tblCellSpacing w:w="50" w:type="dxa"/>
        </w:trPr>
        <w:tc>
          <w:tcPr>
            <w:tcW w:w="0" w:type="auto"/>
            <w:vAlign w:val="center"/>
            <w:hideMark/>
          </w:tcPr>
          <w:p w14:paraId="7C836F0B" w14:textId="77777777" w:rsidR="0041301F" w:rsidRDefault="0041301F" w:rsidP="00E42A21">
            <w:pPr>
              <w:jc w:val="right"/>
              <w:rPr>
                <w:rFonts w:asciiTheme="majorHAnsi" w:hAnsiTheme="majorHAnsi"/>
                <w:b/>
              </w:rPr>
            </w:pPr>
            <w:r w:rsidRPr="0041301F">
              <w:rPr>
                <w:rFonts w:asciiTheme="majorHAnsi" w:hAnsiTheme="majorHAnsi"/>
                <w:b/>
              </w:rPr>
              <w:t>Nom de la personne</w:t>
            </w:r>
          </w:p>
          <w:p w14:paraId="3B49281D" w14:textId="77777777" w:rsidR="00E42A21" w:rsidRPr="0041301F" w:rsidRDefault="00E42A21" w:rsidP="00E42A21">
            <w:pPr>
              <w:jc w:val="right"/>
              <w:rPr>
                <w:rFonts w:asciiTheme="majorHAnsi" w:hAnsiTheme="majorHAnsi"/>
                <w:b/>
              </w:rPr>
            </w:pPr>
            <w:bookmarkStart w:id="0" w:name="_GoBack"/>
            <w:bookmarkEnd w:id="0"/>
          </w:p>
        </w:tc>
      </w:tr>
      <w:tr w:rsidR="0041301F" w:rsidRPr="0041301F" w14:paraId="4D55AC39" w14:textId="77777777" w:rsidTr="0041301F">
        <w:trPr>
          <w:tblCellSpacing w:w="50" w:type="dxa"/>
        </w:trPr>
        <w:tc>
          <w:tcPr>
            <w:tcW w:w="0" w:type="auto"/>
            <w:vAlign w:val="center"/>
            <w:hideMark/>
          </w:tcPr>
          <w:p w14:paraId="610D1118" w14:textId="77777777" w:rsidR="0041301F" w:rsidRPr="0041301F" w:rsidRDefault="0041301F" w:rsidP="0041301F">
            <w:pPr>
              <w:jc w:val="right"/>
              <w:rPr>
                <w:rFonts w:asciiTheme="majorHAnsi" w:hAnsiTheme="majorHAnsi"/>
                <w:b/>
              </w:rPr>
            </w:pPr>
            <w:r w:rsidRPr="0041301F">
              <w:rPr>
                <w:rFonts w:asciiTheme="majorHAnsi" w:hAnsiTheme="majorHAnsi"/>
                <w:b/>
              </w:rPr>
              <w:t>Si personne morale</w:t>
            </w:r>
          </w:p>
        </w:tc>
      </w:tr>
      <w:tr w:rsidR="0041301F" w:rsidRPr="0041301F" w14:paraId="309837D4" w14:textId="77777777" w:rsidTr="0041301F">
        <w:trPr>
          <w:tblCellSpacing w:w="50" w:type="dxa"/>
        </w:trPr>
        <w:tc>
          <w:tcPr>
            <w:tcW w:w="0" w:type="auto"/>
            <w:vAlign w:val="center"/>
            <w:hideMark/>
          </w:tcPr>
          <w:p w14:paraId="6ABCD83A" w14:textId="77777777" w:rsidR="0041301F" w:rsidRPr="0041301F" w:rsidRDefault="0041301F" w:rsidP="0041301F">
            <w:pPr>
              <w:jc w:val="right"/>
              <w:rPr>
                <w:rFonts w:asciiTheme="majorHAnsi" w:hAnsiTheme="majorHAnsi"/>
                <w:b/>
              </w:rPr>
            </w:pPr>
            <w:r w:rsidRPr="0041301F">
              <w:rPr>
                <w:rFonts w:asciiTheme="majorHAnsi" w:hAnsiTheme="majorHAnsi"/>
              </w:rPr>
              <w:t>Pour la société, (</w:t>
            </w:r>
            <w:r w:rsidRPr="0041301F">
              <w:rPr>
                <w:rFonts w:asciiTheme="majorHAnsi" w:hAnsiTheme="majorHAnsi"/>
                <w:b/>
              </w:rPr>
              <w:t xml:space="preserve">Nom de la société) </w:t>
            </w:r>
          </w:p>
          <w:p w14:paraId="69C01AE2" w14:textId="77777777" w:rsidR="0041301F" w:rsidRPr="0041301F" w:rsidRDefault="0041301F" w:rsidP="0041301F">
            <w:pPr>
              <w:jc w:val="right"/>
              <w:rPr>
                <w:rFonts w:asciiTheme="majorHAnsi" w:hAnsiTheme="majorHAnsi"/>
              </w:rPr>
            </w:pPr>
            <w:r w:rsidRPr="0041301F">
              <w:rPr>
                <w:rFonts w:asciiTheme="majorHAnsi" w:hAnsiTheme="majorHAnsi"/>
                <w:b/>
              </w:rPr>
              <w:t>Signature de la personne ayant qualité pour représenter la société</w:t>
            </w:r>
          </w:p>
          <w:p w14:paraId="09D44CF0" w14:textId="77777777" w:rsidR="0041301F" w:rsidRPr="0041301F" w:rsidRDefault="0041301F" w:rsidP="0041301F">
            <w:pPr>
              <w:jc w:val="right"/>
              <w:rPr>
                <w:rFonts w:asciiTheme="majorHAnsi" w:hAnsiTheme="majorHAnsi"/>
              </w:rPr>
            </w:pPr>
          </w:p>
        </w:tc>
      </w:tr>
    </w:tbl>
    <w:p w14:paraId="76ACCDBE" w14:textId="77777777" w:rsidR="00BF3D09" w:rsidRPr="00643F2D" w:rsidRDefault="00BF3D09" w:rsidP="0041301F">
      <w:pPr>
        <w:jc w:val="right"/>
        <w:rPr>
          <w:rFonts w:asciiTheme="majorHAnsi" w:hAnsiTheme="majorHAnsi"/>
        </w:rPr>
      </w:pPr>
    </w:p>
    <w:sectPr w:rsidR="00BF3D09" w:rsidRPr="00643F2D" w:rsidSect="00A741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99"/>
    <w:rsid w:val="002F3CB1"/>
    <w:rsid w:val="0041301F"/>
    <w:rsid w:val="004B2A99"/>
    <w:rsid w:val="00643F2D"/>
    <w:rsid w:val="007D7873"/>
    <w:rsid w:val="00A7416D"/>
    <w:rsid w:val="00BF3D09"/>
    <w:rsid w:val="00E42A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F151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3F2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43F2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3F2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43F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file://localhost/http://abonnes.efl.fr/EFLPORTAL/data/img/pixelblanc.gi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810</Words>
  <Characters>4461</Characters>
  <Application>Microsoft Macintosh Word</Application>
  <DocSecurity>0</DocSecurity>
  <Lines>37</Lines>
  <Paragraphs>10</Paragraphs>
  <ScaleCrop>false</ScaleCrop>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MONMAC</dc:creator>
  <cp:keywords/>
  <dc:description/>
  <cp:lastModifiedBy>MONMAC</cp:lastModifiedBy>
  <cp:revision>4</cp:revision>
  <dcterms:created xsi:type="dcterms:W3CDTF">2015-11-12T08:40:00Z</dcterms:created>
  <dcterms:modified xsi:type="dcterms:W3CDTF">2015-11-12T16:16:00Z</dcterms:modified>
</cp:coreProperties>
</file>